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D88" w:rsidRDefault="00727D88" w:rsidP="00727D88">
      <w:pPr>
        <w:rPr>
          <w:rFonts w:ascii="Times New Roman" w:eastAsia="Times New Roman" w:hAnsi="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0D4251A2" wp14:editId="444266BA">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D88" w:rsidRDefault="00727D88" w:rsidP="00727D88">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727D88" w:rsidRDefault="00727D88" w:rsidP="00727D88">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727D88" w:rsidRDefault="00727D88" w:rsidP="00727D88">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27D88" w:rsidRDefault="00727D88" w:rsidP="00727D88">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727D88" w:rsidRDefault="00727D88" w:rsidP="00727D88">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727D88" w:rsidRDefault="00727D88" w:rsidP="00727D88">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426BD439" wp14:editId="3DB962B4">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727D88" w:rsidRDefault="00727D88" w:rsidP="00727D88">
      <w:pPr>
        <w:spacing w:after="0" w:line="240" w:lineRule="auto"/>
        <w:jc w:val="both"/>
        <w:rPr>
          <w:rFonts w:ascii="Times New Roman" w:hAnsi="Times New Roman"/>
          <w:i/>
          <w:sz w:val="28"/>
          <w:szCs w:val="28"/>
          <w:u w:val="single"/>
          <w:lang w:val="uk-UA"/>
        </w:rPr>
      </w:pPr>
      <w:r w:rsidRPr="00727D88">
        <w:rPr>
          <w:rFonts w:ascii="Times New Roman" w:hAnsi="Times New Roman"/>
          <w:i/>
          <w:sz w:val="28"/>
          <w:szCs w:val="28"/>
          <w:u w:val="single"/>
          <w:lang w:val="uk-UA"/>
        </w:rPr>
        <w:t>Чи є об’єктом оподаткування податком на нерухоме майно, відмінне від земельної ділянки, виробничі будівлі, що використовуються як адміністративно-побутові, для конторських та адміністративних цілей (офісні)?</w:t>
      </w:r>
    </w:p>
    <w:p w:rsidR="00727D88" w:rsidRPr="00727D88" w:rsidRDefault="00727D88" w:rsidP="00727D88">
      <w:pPr>
        <w:spacing w:after="0" w:line="240" w:lineRule="auto"/>
        <w:jc w:val="both"/>
        <w:rPr>
          <w:rFonts w:ascii="Times New Roman" w:hAnsi="Times New Roman"/>
          <w:i/>
          <w:sz w:val="28"/>
          <w:szCs w:val="28"/>
          <w:u w:val="single"/>
          <w:lang w:val="uk-UA"/>
        </w:rPr>
      </w:pPr>
    </w:p>
    <w:p w:rsidR="00727D88" w:rsidRDefault="00727D88" w:rsidP="00727D88">
      <w:pPr>
        <w:spacing w:after="0" w:line="240" w:lineRule="auto"/>
        <w:ind w:firstLine="567"/>
        <w:jc w:val="both"/>
        <w:rPr>
          <w:rFonts w:ascii="Times New Roman" w:hAnsi="Times New Roman"/>
          <w:sz w:val="28"/>
          <w:szCs w:val="28"/>
          <w:lang w:val="uk-UA"/>
        </w:rPr>
      </w:pPr>
      <w:r w:rsidRPr="00727D88">
        <w:rPr>
          <w:rFonts w:ascii="Times New Roman" w:hAnsi="Times New Roman"/>
          <w:sz w:val="28"/>
          <w:szCs w:val="28"/>
          <w:lang w:val="uk-UA"/>
        </w:rPr>
        <w:t xml:space="preserve">Відповідно до </w:t>
      </w:r>
      <w:proofErr w:type="spellStart"/>
      <w:r w:rsidRPr="00727D88">
        <w:rPr>
          <w:rFonts w:ascii="Times New Roman" w:hAnsi="Times New Roman"/>
          <w:sz w:val="28"/>
          <w:szCs w:val="28"/>
          <w:lang w:val="uk-UA"/>
        </w:rPr>
        <w:t>п.п</w:t>
      </w:r>
      <w:proofErr w:type="spellEnd"/>
      <w:r w:rsidRPr="00727D88">
        <w:rPr>
          <w:rFonts w:ascii="Times New Roman" w:hAnsi="Times New Roman"/>
          <w:sz w:val="28"/>
          <w:szCs w:val="28"/>
          <w:lang w:val="uk-UA"/>
        </w:rPr>
        <w:t>. 266.1.1 п. 266.1 ст. 266 Податкового кодексу України від 02 грудня 2010 року № 2755-VI (далі – ПКУ) платниками податку на нерухоме майно, відмінне від земельної ділянки, є фізичні та юридичні особи, в тому числі нерезиденти, які є власниками житлової</w:t>
      </w:r>
      <w:r>
        <w:rPr>
          <w:rFonts w:ascii="Times New Roman" w:hAnsi="Times New Roman"/>
          <w:sz w:val="28"/>
          <w:szCs w:val="28"/>
          <w:lang w:val="uk-UA"/>
        </w:rPr>
        <w:t xml:space="preserve"> та/або нежитлової нерухомості.</w:t>
      </w:r>
    </w:p>
    <w:p w:rsidR="00727D88" w:rsidRDefault="00727D88" w:rsidP="00727D88">
      <w:pPr>
        <w:spacing w:after="0" w:line="240" w:lineRule="auto"/>
        <w:ind w:firstLine="567"/>
        <w:jc w:val="both"/>
        <w:rPr>
          <w:rFonts w:ascii="Times New Roman" w:hAnsi="Times New Roman"/>
          <w:sz w:val="28"/>
          <w:szCs w:val="28"/>
          <w:lang w:val="uk-UA"/>
        </w:rPr>
      </w:pPr>
      <w:r w:rsidRPr="00727D88">
        <w:rPr>
          <w:rFonts w:ascii="Times New Roman" w:hAnsi="Times New Roman"/>
          <w:sz w:val="28"/>
          <w:szCs w:val="28"/>
          <w:lang w:val="uk-UA"/>
        </w:rPr>
        <w:t>Об’єктом оподаткування податком на нерухоме майно, відмінне від земельної ділянки, є об’єкт житлової та нежитлової нерухомості, в тому числі його частка (</w:t>
      </w:r>
      <w:proofErr w:type="spellStart"/>
      <w:r w:rsidRPr="00727D88">
        <w:rPr>
          <w:rFonts w:ascii="Times New Roman" w:hAnsi="Times New Roman"/>
          <w:sz w:val="28"/>
          <w:szCs w:val="28"/>
          <w:lang w:val="uk-UA"/>
        </w:rPr>
        <w:t>п.п</w:t>
      </w:r>
      <w:proofErr w:type="spellEnd"/>
      <w:r w:rsidRPr="00727D88">
        <w:rPr>
          <w:rFonts w:ascii="Times New Roman" w:hAnsi="Times New Roman"/>
          <w:sz w:val="28"/>
          <w:szCs w:val="28"/>
          <w:lang w:val="uk-UA"/>
        </w:rPr>
        <w:t>. 266.</w:t>
      </w:r>
      <w:r>
        <w:rPr>
          <w:rFonts w:ascii="Times New Roman" w:hAnsi="Times New Roman"/>
          <w:sz w:val="28"/>
          <w:szCs w:val="28"/>
          <w:lang w:val="uk-UA"/>
        </w:rPr>
        <w:t>2.1 п. 266.2 ст. 266 ПКУ).</w:t>
      </w:r>
    </w:p>
    <w:p w:rsidR="00727D88" w:rsidRDefault="00727D88" w:rsidP="00727D88">
      <w:pPr>
        <w:spacing w:after="0" w:line="240" w:lineRule="auto"/>
        <w:ind w:firstLine="567"/>
        <w:jc w:val="both"/>
        <w:rPr>
          <w:rFonts w:ascii="Times New Roman" w:hAnsi="Times New Roman"/>
          <w:sz w:val="28"/>
          <w:szCs w:val="28"/>
          <w:lang w:val="uk-UA"/>
        </w:rPr>
      </w:pPr>
      <w:r w:rsidRPr="00727D88">
        <w:rPr>
          <w:rFonts w:ascii="Times New Roman" w:hAnsi="Times New Roman"/>
          <w:sz w:val="28"/>
          <w:szCs w:val="28"/>
          <w:lang w:val="uk-UA"/>
        </w:rP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 (</w:t>
      </w:r>
      <w:proofErr w:type="spellStart"/>
      <w:r w:rsidRPr="00727D88">
        <w:rPr>
          <w:rFonts w:ascii="Times New Roman" w:hAnsi="Times New Roman"/>
          <w:sz w:val="28"/>
          <w:szCs w:val="28"/>
          <w:lang w:val="uk-UA"/>
        </w:rPr>
        <w:t>п.п</w:t>
      </w:r>
      <w:proofErr w:type="spellEnd"/>
      <w:r w:rsidRPr="00727D88">
        <w:rPr>
          <w:rFonts w:ascii="Times New Roman" w:hAnsi="Times New Roman"/>
          <w:sz w:val="28"/>
          <w:szCs w:val="28"/>
          <w:lang w:val="uk-UA"/>
        </w:rPr>
        <w:t>. 266.</w:t>
      </w:r>
      <w:r>
        <w:rPr>
          <w:rFonts w:ascii="Times New Roman" w:hAnsi="Times New Roman"/>
          <w:sz w:val="28"/>
          <w:szCs w:val="28"/>
          <w:lang w:val="uk-UA"/>
        </w:rPr>
        <w:t>3.2 п. 266.3 ст. 266 ПКУ).</w:t>
      </w:r>
    </w:p>
    <w:p w:rsidR="00727D88" w:rsidRDefault="00727D88" w:rsidP="00727D88">
      <w:pPr>
        <w:spacing w:after="0" w:line="240" w:lineRule="auto"/>
        <w:ind w:firstLine="567"/>
        <w:jc w:val="both"/>
        <w:rPr>
          <w:rFonts w:ascii="Times New Roman" w:hAnsi="Times New Roman"/>
          <w:sz w:val="28"/>
          <w:szCs w:val="28"/>
          <w:lang w:val="uk-UA"/>
        </w:rPr>
      </w:pPr>
      <w:r w:rsidRPr="00727D88">
        <w:rPr>
          <w:rFonts w:ascii="Times New Roman" w:hAnsi="Times New Roman"/>
          <w:sz w:val="28"/>
          <w:szCs w:val="28"/>
          <w:lang w:val="uk-UA"/>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з загальної площі кожного окремого об’єкта оподаткування на підставі документів, що підтверджують право власності на такий об’єкт (</w:t>
      </w:r>
      <w:proofErr w:type="spellStart"/>
      <w:r w:rsidRPr="00727D88">
        <w:rPr>
          <w:rFonts w:ascii="Times New Roman" w:hAnsi="Times New Roman"/>
          <w:sz w:val="28"/>
          <w:szCs w:val="28"/>
          <w:lang w:val="uk-UA"/>
        </w:rPr>
        <w:t>п.п</w:t>
      </w:r>
      <w:proofErr w:type="spellEnd"/>
      <w:r w:rsidRPr="00727D88">
        <w:rPr>
          <w:rFonts w:ascii="Times New Roman" w:hAnsi="Times New Roman"/>
          <w:sz w:val="28"/>
          <w:szCs w:val="28"/>
          <w:lang w:val="uk-UA"/>
        </w:rPr>
        <w:t>. 266.3</w:t>
      </w:r>
      <w:r>
        <w:rPr>
          <w:rFonts w:ascii="Times New Roman" w:hAnsi="Times New Roman"/>
          <w:sz w:val="28"/>
          <w:szCs w:val="28"/>
          <w:lang w:val="uk-UA"/>
        </w:rPr>
        <w:t xml:space="preserve">.3 п. 266.3 ст. 266 ПКУ). </w:t>
      </w:r>
    </w:p>
    <w:p w:rsidR="00727D88" w:rsidRDefault="00727D88" w:rsidP="00727D88">
      <w:pPr>
        <w:spacing w:after="0" w:line="240" w:lineRule="auto"/>
        <w:ind w:firstLine="567"/>
        <w:jc w:val="both"/>
        <w:rPr>
          <w:rFonts w:ascii="Times New Roman" w:hAnsi="Times New Roman"/>
          <w:sz w:val="28"/>
          <w:szCs w:val="28"/>
          <w:lang w:val="uk-UA"/>
        </w:rPr>
      </w:pPr>
      <w:r w:rsidRPr="00727D88">
        <w:rPr>
          <w:rFonts w:ascii="Times New Roman" w:hAnsi="Times New Roman"/>
          <w:sz w:val="28"/>
          <w:szCs w:val="28"/>
          <w:lang w:val="uk-UA"/>
        </w:rPr>
        <w:t xml:space="preserve">Згідно з </w:t>
      </w:r>
      <w:proofErr w:type="spellStart"/>
      <w:r w:rsidRPr="00727D88">
        <w:rPr>
          <w:rFonts w:ascii="Times New Roman" w:hAnsi="Times New Roman"/>
          <w:sz w:val="28"/>
          <w:szCs w:val="28"/>
          <w:lang w:val="uk-UA"/>
        </w:rPr>
        <w:t>п.п</w:t>
      </w:r>
      <w:proofErr w:type="spellEnd"/>
      <w:r w:rsidRPr="00727D88">
        <w:rPr>
          <w:rFonts w:ascii="Times New Roman" w:hAnsi="Times New Roman"/>
          <w:sz w:val="28"/>
          <w:szCs w:val="28"/>
          <w:lang w:val="uk-UA"/>
        </w:rPr>
        <w:t>. 14.1.129 прим. 1 п. 14.1 ст. 14 ПКУ об’єкти нежитлової нерухомості – будівлі, їх складові частини, що не є об’єктами житлової нерухомості. До об’єктів нежитлової нерухомості відносяться, зокрема, будівлі офісні (будівлі фінансового обслуговування, адміністративно-побутові будівлі, будівлі для конторських та адміністративних цілей), буд</w:t>
      </w:r>
      <w:r>
        <w:rPr>
          <w:rFonts w:ascii="Times New Roman" w:hAnsi="Times New Roman"/>
          <w:sz w:val="28"/>
          <w:szCs w:val="28"/>
          <w:lang w:val="uk-UA"/>
        </w:rPr>
        <w:t>івлі промислові та склади.</w:t>
      </w:r>
    </w:p>
    <w:p w:rsidR="00727D88" w:rsidRDefault="00727D88" w:rsidP="00727D88">
      <w:pPr>
        <w:spacing w:after="0" w:line="240" w:lineRule="auto"/>
        <w:ind w:firstLine="567"/>
        <w:jc w:val="both"/>
        <w:rPr>
          <w:rFonts w:ascii="Times New Roman" w:hAnsi="Times New Roman"/>
          <w:sz w:val="28"/>
          <w:szCs w:val="28"/>
          <w:lang w:val="uk-UA"/>
        </w:rPr>
      </w:pPr>
      <w:r w:rsidRPr="00727D88">
        <w:rPr>
          <w:rFonts w:ascii="Times New Roman" w:hAnsi="Times New Roman"/>
          <w:sz w:val="28"/>
          <w:szCs w:val="28"/>
          <w:lang w:val="uk-UA"/>
        </w:rPr>
        <w:t xml:space="preserve">Підпунктом «є» </w:t>
      </w:r>
      <w:proofErr w:type="spellStart"/>
      <w:r w:rsidRPr="00727D88">
        <w:rPr>
          <w:rFonts w:ascii="Times New Roman" w:hAnsi="Times New Roman"/>
          <w:sz w:val="28"/>
          <w:szCs w:val="28"/>
          <w:lang w:val="uk-UA"/>
        </w:rPr>
        <w:t>п.п</w:t>
      </w:r>
      <w:proofErr w:type="spellEnd"/>
      <w:r w:rsidRPr="00727D88">
        <w:rPr>
          <w:rFonts w:ascii="Times New Roman" w:hAnsi="Times New Roman"/>
          <w:sz w:val="28"/>
          <w:szCs w:val="28"/>
          <w:lang w:val="uk-UA"/>
        </w:rPr>
        <w:t xml:space="preserve">. 266.2.2 п. 266.2 ст. 266 ПКУ визначено перелік об’єктів нерухомості, які не є об’єктом оподаткування, до яких входять будівлі промисловості, віднесені до групи «Будівлі промислові та склади» (код 125) Державного класифікатора будівель та споруд ДК 018-2000, затвердженого наказом Державного комітету України по стандартизації, метрології та сертифікації від 17.08.2000 № 507 (далі – Класифікатор), що використовуються за призначенням у господарській діяльності суб’єктів господарювання, основна діяльність яких класифікується у секціях B – F КВЕД ДК 009:2010, затвердженого наказом Державного комітету України з питань технічного </w:t>
      </w:r>
      <w:r w:rsidRPr="00727D88">
        <w:rPr>
          <w:rFonts w:ascii="Times New Roman" w:hAnsi="Times New Roman"/>
          <w:sz w:val="28"/>
          <w:szCs w:val="28"/>
          <w:lang w:val="uk-UA"/>
        </w:rPr>
        <w:lastRenderedPageBreak/>
        <w:t>регулювання та споживчої політики від 29.11.2010 № 530, та не здаються їх власниками в оренду, лізинг, позичку.</w:t>
      </w:r>
    </w:p>
    <w:p w:rsidR="00727D88" w:rsidRDefault="00727D88" w:rsidP="00727D88">
      <w:pPr>
        <w:spacing w:after="0" w:line="240" w:lineRule="auto"/>
        <w:ind w:firstLine="567"/>
        <w:jc w:val="both"/>
        <w:rPr>
          <w:rFonts w:ascii="Times New Roman" w:hAnsi="Times New Roman"/>
          <w:sz w:val="28"/>
          <w:szCs w:val="28"/>
          <w:lang w:val="uk-UA"/>
        </w:rPr>
      </w:pPr>
      <w:r w:rsidRPr="00727D88">
        <w:rPr>
          <w:rFonts w:ascii="Times New Roman" w:hAnsi="Times New Roman"/>
          <w:sz w:val="28"/>
          <w:szCs w:val="28"/>
          <w:lang w:val="uk-UA"/>
        </w:rPr>
        <w:t>Згідно з Класифікатором до групи «Будівлі промислові та склади» (код 125) належить клас «Будівлі промисловості» (код 1251), який включає будівлі промисловості, зокрема, до групи «Будівлі офісні» (код 122) належать будівлі, що використовуються як приміщення для конторських та адміністративних цілей, в тому числі дл</w:t>
      </w:r>
      <w:r>
        <w:rPr>
          <w:rFonts w:ascii="Times New Roman" w:hAnsi="Times New Roman"/>
          <w:sz w:val="28"/>
          <w:szCs w:val="28"/>
          <w:lang w:val="uk-UA"/>
        </w:rPr>
        <w:t>я промислових підприємств.</w:t>
      </w:r>
    </w:p>
    <w:p w:rsidR="00727D88" w:rsidRDefault="00727D88" w:rsidP="00727D88">
      <w:pPr>
        <w:spacing w:after="0" w:line="240" w:lineRule="auto"/>
        <w:ind w:firstLine="567"/>
        <w:jc w:val="both"/>
        <w:rPr>
          <w:rFonts w:ascii="Times New Roman" w:hAnsi="Times New Roman"/>
          <w:sz w:val="28"/>
          <w:szCs w:val="28"/>
          <w:lang w:val="uk-UA"/>
        </w:rPr>
      </w:pPr>
      <w:r w:rsidRPr="00727D88">
        <w:rPr>
          <w:rFonts w:ascii="Times New Roman" w:hAnsi="Times New Roman"/>
          <w:sz w:val="28"/>
          <w:szCs w:val="28"/>
          <w:lang w:val="uk-UA"/>
        </w:rPr>
        <w:t xml:space="preserve">Тобто, адміністративно-побутові (офісні) приміщення не підпадають під дію </w:t>
      </w:r>
      <w:proofErr w:type="spellStart"/>
      <w:r w:rsidRPr="00727D88">
        <w:rPr>
          <w:rFonts w:ascii="Times New Roman" w:hAnsi="Times New Roman"/>
          <w:sz w:val="28"/>
          <w:szCs w:val="28"/>
          <w:lang w:val="uk-UA"/>
        </w:rPr>
        <w:t>п.п</w:t>
      </w:r>
      <w:proofErr w:type="spellEnd"/>
      <w:r w:rsidRPr="00727D88">
        <w:rPr>
          <w:rFonts w:ascii="Times New Roman" w:hAnsi="Times New Roman"/>
          <w:sz w:val="28"/>
          <w:szCs w:val="28"/>
          <w:lang w:val="uk-UA"/>
        </w:rPr>
        <w:t xml:space="preserve">. «є» </w:t>
      </w:r>
      <w:proofErr w:type="spellStart"/>
      <w:r w:rsidRPr="00727D88">
        <w:rPr>
          <w:rFonts w:ascii="Times New Roman" w:hAnsi="Times New Roman"/>
          <w:sz w:val="28"/>
          <w:szCs w:val="28"/>
          <w:lang w:val="uk-UA"/>
        </w:rPr>
        <w:t>п.п</w:t>
      </w:r>
      <w:proofErr w:type="spellEnd"/>
      <w:r w:rsidRPr="00727D88">
        <w:rPr>
          <w:rFonts w:ascii="Times New Roman" w:hAnsi="Times New Roman"/>
          <w:sz w:val="28"/>
          <w:szCs w:val="28"/>
          <w:lang w:val="uk-UA"/>
        </w:rPr>
        <w:t xml:space="preserve">. 266.2.2 п. 266.2 ст. 266 </w:t>
      </w:r>
      <w:r>
        <w:rPr>
          <w:rFonts w:ascii="Times New Roman" w:hAnsi="Times New Roman"/>
          <w:sz w:val="28"/>
          <w:szCs w:val="28"/>
          <w:lang w:val="uk-UA"/>
        </w:rPr>
        <w:t>ПКУ.</w:t>
      </w:r>
    </w:p>
    <w:p w:rsidR="00727D88" w:rsidRDefault="00727D88" w:rsidP="00727D88">
      <w:pPr>
        <w:spacing w:after="0" w:line="240" w:lineRule="auto"/>
        <w:ind w:firstLine="567"/>
        <w:jc w:val="both"/>
        <w:rPr>
          <w:rFonts w:ascii="Times New Roman" w:hAnsi="Times New Roman"/>
          <w:sz w:val="28"/>
          <w:szCs w:val="28"/>
          <w:lang w:val="uk-UA"/>
        </w:rPr>
      </w:pPr>
      <w:r w:rsidRPr="00727D88">
        <w:rPr>
          <w:rFonts w:ascii="Times New Roman" w:hAnsi="Times New Roman"/>
          <w:sz w:val="28"/>
          <w:szCs w:val="28"/>
          <w:lang w:val="uk-UA"/>
        </w:rPr>
        <w:t>Враховуючи зазначене, будівлі що використовуються як адміністративно-побутові, для конторських та адміністративних цілей (офісні), в тому числі для промислових підприємств, є об’єктом оподаткування податком на нерухоме майно, відмінне від земельної ділянки, з врахуванням рішень сільськ</w:t>
      </w:r>
      <w:r>
        <w:rPr>
          <w:rFonts w:ascii="Times New Roman" w:hAnsi="Times New Roman"/>
          <w:sz w:val="28"/>
          <w:szCs w:val="28"/>
          <w:lang w:val="uk-UA"/>
        </w:rPr>
        <w:t>их, селищних, міських рад.</w:t>
      </w:r>
    </w:p>
    <w:p w:rsidR="00727D88" w:rsidRPr="00727D88" w:rsidRDefault="00727D88" w:rsidP="00727D88">
      <w:pPr>
        <w:spacing w:after="0" w:line="240" w:lineRule="auto"/>
        <w:ind w:firstLine="567"/>
        <w:jc w:val="both"/>
        <w:rPr>
          <w:rFonts w:ascii="Times New Roman" w:hAnsi="Times New Roman"/>
          <w:sz w:val="28"/>
          <w:szCs w:val="28"/>
          <w:lang w:val="uk-UA"/>
        </w:rPr>
      </w:pPr>
      <w:r w:rsidRPr="00727D88">
        <w:rPr>
          <w:rFonts w:ascii="Times New Roman" w:hAnsi="Times New Roman"/>
          <w:sz w:val="28"/>
          <w:szCs w:val="28"/>
          <w:lang w:val="uk-UA"/>
        </w:rPr>
        <w:t>Водночас, визначення належності об’єкта нежитлової нерухомості (будівлі, приміщення) до того чи іншого класу будівель проводиться на підставі документів, що підтверджують їх право власності з врахуванням класифікаційних ознак та функціонального призначення такого об’єкта нерухомості згідно з Класифікатором, ведення якого здійснює Державний науково-дослідний інститут автоматизованих систем у будівництві Міністерства розвитку громад та територій України.</w:t>
      </w:r>
    </w:p>
    <w:p w:rsidR="00727D88" w:rsidRPr="00727D88" w:rsidRDefault="00727D88" w:rsidP="00727D88">
      <w:pPr>
        <w:ind w:firstLine="567"/>
        <w:rPr>
          <w:rFonts w:ascii="Times New Roman" w:hAnsi="Times New Roman"/>
          <w:sz w:val="28"/>
          <w:szCs w:val="28"/>
        </w:rPr>
      </w:pPr>
      <w:r w:rsidRPr="00727D88">
        <w:rPr>
          <w:rFonts w:ascii="Times New Roman" w:hAnsi="Times New Roman"/>
          <w:sz w:val="28"/>
          <w:szCs w:val="28"/>
          <w:shd w:val="clear" w:color="auto" w:fill="FFFFFF"/>
        </w:rPr>
        <w:t xml:space="preserve">За </w:t>
      </w:r>
      <w:proofErr w:type="spellStart"/>
      <w:r w:rsidRPr="00727D88">
        <w:rPr>
          <w:rFonts w:ascii="Times New Roman" w:hAnsi="Times New Roman"/>
          <w:sz w:val="28"/>
          <w:szCs w:val="28"/>
          <w:shd w:val="clear" w:color="auto" w:fill="FFFFFF"/>
        </w:rPr>
        <w:t>інформацією</w:t>
      </w:r>
      <w:proofErr w:type="spellEnd"/>
      <w:r w:rsidRPr="00727D88">
        <w:rPr>
          <w:rFonts w:ascii="Times New Roman" w:hAnsi="Times New Roman"/>
          <w:sz w:val="28"/>
          <w:szCs w:val="28"/>
          <w:shd w:val="clear" w:color="auto" w:fill="FFFFFF"/>
        </w:rPr>
        <w:t xml:space="preserve"> </w:t>
      </w:r>
      <w:proofErr w:type="spellStart"/>
      <w:r w:rsidRPr="00727D88">
        <w:rPr>
          <w:rFonts w:ascii="Times New Roman" w:hAnsi="Times New Roman"/>
          <w:sz w:val="28"/>
          <w:szCs w:val="28"/>
          <w:shd w:val="clear" w:color="auto" w:fill="FFFFFF"/>
        </w:rPr>
        <w:t>загальнодоступного</w:t>
      </w:r>
      <w:proofErr w:type="spellEnd"/>
      <w:r w:rsidRPr="00727D88">
        <w:rPr>
          <w:rFonts w:ascii="Times New Roman" w:hAnsi="Times New Roman"/>
          <w:sz w:val="28"/>
          <w:szCs w:val="28"/>
          <w:shd w:val="clear" w:color="auto" w:fill="FFFFFF"/>
        </w:rPr>
        <w:t xml:space="preserve"> </w:t>
      </w:r>
      <w:proofErr w:type="spellStart"/>
      <w:r w:rsidRPr="00727D88">
        <w:rPr>
          <w:rFonts w:ascii="Times New Roman" w:hAnsi="Times New Roman"/>
          <w:sz w:val="28"/>
          <w:szCs w:val="28"/>
          <w:shd w:val="clear" w:color="auto" w:fill="FFFFFF"/>
        </w:rPr>
        <w:t>інформаційно-довідкового</w:t>
      </w:r>
      <w:proofErr w:type="spellEnd"/>
      <w:r w:rsidRPr="00727D88">
        <w:rPr>
          <w:rFonts w:ascii="Times New Roman" w:hAnsi="Times New Roman"/>
          <w:sz w:val="28"/>
          <w:szCs w:val="28"/>
          <w:shd w:val="clear" w:color="auto" w:fill="FFFFFF"/>
        </w:rPr>
        <w:t xml:space="preserve"> ресурсу.</w:t>
      </w:r>
    </w:p>
    <w:p w:rsidR="00727D88" w:rsidRPr="00F32254" w:rsidRDefault="00727D88" w:rsidP="00727D88">
      <w:pPr>
        <w:rPr>
          <w:rStyle w:val="z-label"/>
          <w:rFonts w:ascii="Times New Roman" w:hAnsi="Times New Roman"/>
          <w:sz w:val="28"/>
          <w:szCs w:val="28"/>
        </w:rPr>
      </w:pPr>
    </w:p>
    <w:p w:rsidR="00727D88" w:rsidRDefault="00727D88" w:rsidP="00727D88">
      <w:pPr>
        <w:tabs>
          <w:tab w:val="num" w:pos="567"/>
        </w:tabs>
        <w:spacing w:after="0" w:line="240" w:lineRule="auto"/>
        <w:jc w:val="both"/>
        <w:rPr>
          <w:rFonts w:ascii="Times New Roman" w:eastAsia="Times New Roman" w:hAnsi="Times New Roman"/>
          <w:sz w:val="28"/>
          <w:szCs w:val="28"/>
          <w:lang w:val="en-US" w:eastAsia="ru-RU"/>
        </w:rPr>
      </w:pPr>
    </w:p>
    <w:p w:rsidR="00DE3155" w:rsidRDefault="00DE3155" w:rsidP="00727D88">
      <w:pPr>
        <w:tabs>
          <w:tab w:val="num" w:pos="567"/>
        </w:tabs>
        <w:spacing w:after="0" w:line="240" w:lineRule="auto"/>
        <w:jc w:val="both"/>
        <w:rPr>
          <w:rFonts w:ascii="Times New Roman" w:eastAsia="Times New Roman" w:hAnsi="Times New Roman"/>
          <w:sz w:val="28"/>
          <w:szCs w:val="28"/>
          <w:lang w:val="en-US" w:eastAsia="ru-RU"/>
        </w:rPr>
      </w:pPr>
    </w:p>
    <w:p w:rsidR="00DE3155" w:rsidRDefault="00DE3155" w:rsidP="00727D88">
      <w:pPr>
        <w:tabs>
          <w:tab w:val="num" w:pos="567"/>
        </w:tabs>
        <w:spacing w:after="0" w:line="240" w:lineRule="auto"/>
        <w:jc w:val="both"/>
        <w:rPr>
          <w:rFonts w:ascii="Times New Roman" w:eastAsia="Times New Roman" w:hAnsi="Times New Roman"/>
          <w:sz w:val="28"/>
          <w:szCs w:val="28"/>
          <w:lang w:val="en-US" w:eastAsia="ru-RU"/>
        </w:rPr>
      </w:pPr>
    </w:p>
    <w:p w:rsidR="00DE3155" w:rsidRDefault="00DE3155" w:rsidP="00727D88">
      <w:pPr>
        <w:tabs>
          <w:tab w:val="num" w:pos="567"/>
        </w:tabs>
        <w:spacing w:after="0" w:line="240" w:lineRule="auto"/>
        <w:jc w:val="both"/>
        <w:rPr>
          <w:rFonts w:ascii="Times New Roman" w:eastAsia="Times New Roman" w:hAnsi="Times New Roman"/>
          <w:sz w:val="28"/>
          <w:szCs w:val="28"/>
          <w:lang w:val="en-US" w:eastAsia="ru-RU"/>
        </w:rPr>
      </w:pPr>
    </w:p>
    <w:p w:rsidR="00DE3155" w:rsidRDefault="00DE3155" w:rsidP="00727D88">
      <w:pPr>
        <w:tabs>
          <w:tab w:val="num" w:pos="567"/>
        </w:tabs>
        <w:spacing w:after="0" w:line="240" w:lineRule="auto"/>
        <w:jc w:val="both"/>
        <w:rPr>
          <w:rFonts w:ascii="Times New Roman" w:eastAsia="Times New Roman" w:hAnsi="Times New Roman"/>
          <w:sz w:val="28"/>
          <w:szCs w:val="28"/>
          <w:lang w:val="en-US" w:eastAsia="ru-RU"/>
        </w:rPr>
      </w:pPr>
    </w:p>
    <w:p w:rsidR="00DE3155" w:rsidRDefault="00DE3155" w:rsidP="00727D88">
      <w:pPr>
        <w:tabs>
          <w:tab w:val="num" w:pos="567"/>
        </w:tabs>
        <w:spacing w:after="0" w:line="240" w:lineRule="auto"/>
        <w:jc w:val="both"/>
        <w:rPr>
          <w:rFonts w:ascii="Times New Roman" w:eastAsia="Times New Roman" w:hAnsi="Times New Roman"/>
          <w:sz w:val="28"/>
          <w:szCs w:val="28"/>
          <w:lang w:val="en-US" w:eastAsia="ru-RU"/>
        </w:rPr>
      </w:pPr>
    </w:p>
    <w:p w:rsidR="00DE3155" w:rsidRDefault="00DE3155" w:rsidP="00727D88">
      <w:pPr>
        <w:tabs>
          <w:tab w:val="num" w:pos="567"/>
        </w:tabs>
        <w:spacing w:after="0" w:line="240" w:lineRule="auto"/>
        <w:jc w:val="both"/>
        <w:rPr>
          <w:rFonts w:ascii="Times New Roman" w:eastAsia="Times New Roman" w:hAnsi="Times New Roman"/>
          <w:sz w:val="28"/>
          <w:szCs w:val="28"/>
          <w:lang w:val="en-US" w:eastAsia="ru-RU"/>
        </w:rPr>
      </w:pPr>
    </w:p>
    <w:p w:rsidR="00DE3155" w:rsidRDefault="00DE3155" w:rsidP="00727D88">
      <w:pPr>
        <w:tabs>
          <w:tab w:val="num" w:pos="567"/>
        </w:tabs>
        <w:spacing w:after="0" w:line="240" w:lineRule="auto"/>
        <w:jc w:val="both"/>
        <w:rPr>
          <w:rFonts w:ascii="Times New Roman" w:eastAsia="Times New Roman" w:hAnsi="Times New Roman"/>
          <w:sz w:val="28"/>
          <w:szCs w:val="28"/>
          <w:lang w:val="en-US" w:eastAsia="ru-RU"/>
        </w:rPr>
      </w:pPr>
    </w:p>
    <w:p w:rsidR="00DE3155" w:rsidRDefault="00DE3155" w:rsidP="00727D88">
      <w:pPr>
        <w:tabs>
          <w:tab w:val="num" w:pos="567"/>
        </w:tabs>
        <w:spacing w:after="0" w:line="240" w:lineRule="auto"/>
        <w:jc w:val="both"/>
        <w:rPr>
          <w:rFonts w:ascii="Times New Roman" w:eastAsia="Times New Roman" w:hAnsi="Times New Roman"/>
          <w:sz w:val="28"/>
          <w:szCs w:val="28"/>
          <w:lang w:val="en-US" w:eastAsia="ru-RU"/>
        </w:rPr>
      </w:pPr>
    </w:p>
    <w:p w:rsidR="00DE3155" w:rsidRPr="00DE3155" w:rsidRDefault="00DE3155" w:rsidP="00727D88">
      <w:pPr>
        <w:tabs>
          <w:tab w:val="num" w:pos="567"/>
        </w:tabs>
        <w:spacing w:after="0" w:line="240" w:lineRule="auto"/>
        <w:jc w:val="both"/>
        <w:rPr>
          <w:rFonts w:ascii="Times New Roman" w:eastAsia="Times New Roman" w:hAnsi="Times New Roman"/>
          <w:sz w:val="28"/>
          <w:szCs w:val="28"/>
          <w:lang w:val="en-US" w:eastAsia="ru-RU"/>
        </w:rPr>
      </w:pPr>
      <w:bookmarkStart w:id="1" w:name="_GoBack"/>
      <w:bookmarkEnd w:id="1"/>
    </w:p>
    <w:p w:rsidR="00727D88" w:rsidRPr="00E208DE" w:rsidRDefault="00727D88" w:rsidP="00727D88">
      <w:pPr>
        <w:spacing w:after="0" w:line="240" w:lineRule="auto"/>
        <w:rPr>
          <w:rFonts w:ascii="Times New Roman" w:hAnsi="Times New Roman"/>
          <w:sz w:val="28"/>
          <w:szCs w:val="28"/>
        </w:rPr>
      </w:pPr>
    </w:p>
    <w:p w:rsidR="00727D88" w:rsidRDefault="00727D88" w:rsidP="00727D88">
      <w:pPr>
        <w:spacing w:after="0" w:line="240" w:lineRule="auto"/>
        <w:rPr>
          <w:rFonts w:ascii="Times New Roman" w:hAnsi="Times New Roman"/>
          <w:sz w:val="28"/>
          <w:szCs w:val="28"/>
          <w:lang w:val="uk-UA"/>
        </w:rPr>
      </w:pPr>
    </w:p>
    <w:p w:rsidR="00727D88" w:rsidRDefault="00727D88" w:rsidP="00727D88">
      <w:pPr>
        <w:spacing w:after="0" w:line="240" w:lineRule="auto"/>
        <w:rPr>
          <w:rFonts w:ascii="Times New Roman" w:hAnsi="Times New Roman"/>
          <w:sz w:val="28"/>
          <w:szCs w:val="28"/>
          <w:lang w:val="uk-UA"/>
        </w:rPr>
      </w:pPr>
    </w:p>
    <w:p w:rsidR="00727D88" w:rsidRDefault="00727D88" w:rsidP="00727D88">
      <w:pPr>
        <w:spacing w:after="0" w:line="240" w:lineRule="auto"/>
        <w:rPr>
          <w:rFonts w:ascii="Times New Roman" w:hAnsi="Times New Roman"/>
          <w:sz w:val="28"/>
          <w:szCs w:val="28"/>
          <w:lang w:val="uk-UA"/>
        </w:rPr>
      </w:pPr>
    </w:p>
    <w:p w:rsidR="00727D88" w:rsidRDefault="00727D88" w:rsidP="00727D88">
      <w:pPr>
        <w:spacing w:after="0" w:line="240" w:lineRule="auto"/>
        <w:rPr>
          <w:rFonts w:ascii="Times New Roman" w:hAnsi="Times New Roman"/>
          <w:sz w:val="28"/>
          <w:szCs w:val="28"/>
          <w:lang w:val="uk-UA"/>
        </w:rPr>
      </w:pPr>
    </w:p>
    <w:p w:rsidR="00727D88" w:rsidRDefault="00727D88" w:rsidP="00727D88">
      <w:pPr>
        <w:spacing w:after="0" w:line="240" w:lineRule="auto"/>
        <w:rPr>
          <w:rFonts w:ascii="Times New Roman" w:hAnsi="Times New Roman"/>
          <w:sz w:val="28"/>
          <w:szCs w:val="28"/>
          <w:lang w:val="uk-UA"/>
        </w:rPr>
      </w:pPr>
    </w:p>
    <w:p w:rsidR="00727D88" w:rsidRPr="00727D88" w:rsidRDefault="00727D88" w:rsidP="00727D88">
      <w:pPr>
        <w:spacing w:after="0" w:line="240" w:lineRule="auto"/>
        <w:rPr>
          <w:rFonts w:ascii="Times New Roman" w:hAnsi="Times New Roman"/>
          <w:sz w:val="28"/>
          <w:szCs w:val="28"/>
          <w:lang w:val="uk-UA"/>
        </w:rPr>
      </w:pPr>
    </w:p>
    <w:p w:rsidR="00727D88" w:rsidRPr="00DE3155" w:rsidRDefault="00727D88" w:rsidP="00727D88">
      <w:pPr>
        <w:spacing w:after="0" w:line="240" w:lineRule="auto"/>
        <w:jc w:val="both"/>
        <w:rPr>
          <w:rFonts w:ascii="Times New Roman" w:hAnsi="Times New Roman"/>
          <w:sz w:val="20"/>
          <w:szCs w:val="20"/>
          <w:lang w:val="uk-UA"/>
        </w:rPr>
      </w:pPr>
      <w:r w:rsidRPr="00DE3155">
        <w:rPr>
          <w:rFonts w:ascii="Times New Roman" w:hAnsi="Times New Roman"/>
          <w:sz w:val="20"/>
          <w:szCs w:val="20"/>
          <w:lang w:val="uk-UA"/>
        </w:rPr>
        <w:t xml:space="preserve">18002, м. Черкаси, вул. Хрещатик,235                                           </w:t>
      </w:r>
      <w:r w:rsidRPr="00EA716F">
        <w:rPr>
          <w:rFonts w:ascii="Times New Roman" w:hAnsi="Times New Roman"/>
          <w:sz w:val="20"/>
          <w:szCs w:val="20"/>
          <w:lang w:val="en-US"/>
        </w:rPr>
        <w:t>e</w:t>
      </w:r>
      <w:r w:rsidRPr="00DE3155">
        <w:rPr>
          <w:rFonts w:ascii="Times New Roman" w:hAnsi="Times New Roman"/>
          <w:sz w:val="20"/>
          <w:szCs w:val="20"/>
          <w:lang w:val="uk-UA"/>
        </w:rPr>
        <w:t>-</w:t>
      </w:r>
      <w:r w:rsidRPr="00EA716F">
        <w:rPr>
          <w:rFonts w:ascii="Times New Roman" w:hAnsi="Times New Roman"/>
          <w:sz w:val="20"/>
          <w:szCs w:val="20"/>
          <w:lang w:val="en-US"/>
        </w:rPr>
        <w:t>mail</w:t>
      </w:r>
      <w:r w:rsidRPr="00DE3155">
        <w:rPr>
          <w:rFonts w:ascii="Times New Roman" w:hAnsi="Times New Roman"/>
          <w:sz w:val="20"/>
          <w:szCs w:val="20"/>
          <w:lang w:val="uk-UA"/>
        </w:rPr>
        <w:t xml:space="preserve">: </w:t>
      </w:r>
      <w:hyperlink r:id="rId6" w:history="1">
        <w:r w:rsidRPr="00EA716F">
          <w:rPr>
            <w:rStyle w:val="a3"/>
            <w:rFonts w:ascii="Times New Roman" w:hAnsi="Times New Roman"/>
            <w:sz w:val="20"/>
            <w:szCs w:val="20"/>
            <w:lang w:val="en-US"/>
          </w:rPr>
          <w:t>ck</w:t>
        </w:r>
        <w:r w:rsidRPr="00DE3155">
          <w:rPr>
            <w:rStyle w:val="a3"/>
            <w:rFonts w:ascii="Times New Roman" w:hAnsi="Times New Roman"/>
            <w:sz w:val="20"/>
            <w:szCs w:val="20"/>
            <w:lang w:val="uk-UA"/>
          </w:rPr>
          <w:t>.</w:t>
        </w:r>
        <w:r w:rsidRPr="00EA716F">
          <w:rPr>
            <w:rStyle w:val="a3"/>
            <w:rFonts w:ascii="Times New Roman" w:hAnsi="Times New Roman"/>
            <w:sz w:val="20"/>
            <w:szCs w:val="20"/>
            <w:lang w:val="en-US"/>
          </w:rPr>
          <w:t>zmi</w:t>
        </w:r>
        <w:r w:rsidRPr="00DE3155">
          <w:rPr>
            <w:rStyle w:val="a3"/>
            <w:rFonts w:ascii="Times New Roman" w:hAnsi="Times New Roman"/>
            <w:sz w:val="20"/>
            <w:szCs w:val="20"/>
            <w:lang w:val="uk-UA"/>
          </w:rPr>
          <w:t>@</w:t>
        </w:r>
        <w:r w:rsidRPr="00EA716F">
          <w:rPr>
            <w:rStyle w:val="a3"/>
            <w:rFonts w:ascii="Times New Roman" w:hAnsi="Times New Roman"/>
            <w:sz w:val="20"/>
            <w:szCs w:val="20"/>
            <w:lang w:val="en-US"/>
          </w:rPr>
          <w:t>tax</w:t>
        </w:r>
        <w:r w:rsidRPr="00DE3155">
          <w:rPr>
            <w:rStyle w:val="a3"/>
            <w:rFonts w:ascii="Times New Roman" w:hAnsi="Times New Roman"/>
            <w:sz w:val="20"/>
            <w:szCs w:val="20"/>
            <w:lang w:val="uk-UA"/>
          </w:rPr>
          <w:t>.</w:t>
        </w:r>
        <w:r w:rsidRPr="00EA716F">
          <w:rPr>
            <w:rStyle w:val="a3"/>
            <w:rFonts w:ascii="Times New Roman" w:hAnsi="Times New Roman"/>
            <w:sz w:val="20"/>
            <w:szCs w:val="20"/>
            <w:lang w:val="en-US"/>
          </w:rPr>
          <w:t>gov</w:t>
        </w:r>
        <w:r w:rsidRPr="00DE3155">
          <w:rPr>
            <w:rStyle w:val="a3"/>
            <w:rFonts w:ascii="Times New Roman" w:hAnsi="Times New Roman"/>
            <w:sz w:val="20"/>
            <w:szCs w:val="20"/>
            <w:lang w:val="uk-UA"/>
          </w:rPr>
          <w:t>.</w:t>
        </w:r>
        <w:proofErr w:type="spellStart"/>
        <w:r w:rsidRPr="00EA716F">
          <w:rPr>
            <w:rStyle w:val="a3"/>
            <w:rFonts w:ascii="Times New Roman" w:hAnsi="Times New Roman"/>
            <w:sz w:val="20"/>
            <w:szCs w:val="20"/>
            <w:lang w:val="en-US"/>
          </w:rPr>
          <w:t>ua</w:t>
        </w:r>
        <w:proofErr w:type="spellEnd"/>
      </w:hyperlink>
    </w:p>
    <w:p w:rsidR="00727D88" w:rsidRPr="00EA716F" w:rsidRDefault="00727D88" w:rsidP="00727D88">
      <w:pPr>
        <w:spacing w:after="0" w:line="240" w:lineRule="auto"/>
        <w:jc w:val="both"/>
        <w:rPr>
          <w:rFonts w:ascii="Times New Roman" w:hAnsi="Times New Roman"/>
          <w:sz w:val="20"/>
          <w:szCs w:val="20"/>
        </w:rPr>
      </w:pPr>
      <w:r w:rsidRPr="00EA716F">
        <w:rPr>
          <w:rFonts w:ascii="Times New Roman" w:hAnsi="Times New Roman"/>
          <w:sz w:val="20"/>
          <w:szCs w:val="20"/>
        </w:rPr>
        <w:t xml:space="preserve">тел.(0472) 33-91-34                                                                           </w:t>
      </w:r>
      <w:hyperlink r:id="rId7" w:history="1">
        <w:r w:rsidRPr="00EA716F">
          <w:rPr>
            <w:rStyle w:val="a3"/>
            <w:rFonts w:ascii="Times New Roman" w:hAnsi="Times New Roman"/>
            <w:sz w:val="20"/>
            <w:szCs w:val="20"/>
          </w:rPr>
          <w:t>https://ck.tax.gov.ua/</w:t>
        </w:r>
      </w:hyperlink>
    </w:p>
    <w:p w:rsidR="00392635" w:rsidRPr="00727D88" w:rsidRDefault="00392635" w:rsidP="00727D88">
      <w:pPr>
        <w:spacing w:after="0" w:line="240" w:lineRule="auto"/>
        <w:ind w:firstLine="567"/>
        <w:jc w:val="both"/>
        <w:rPr>
          <w:rFonts w:ascii="Times New Roman" w:hAnsi="Times New Roman"/>
          <w:sz w:val="28"/>
          <w:szCs w:val="28"/>
        </w:rPr>
      </w:pPr>
    </w:p>
    <w:sectPr w:rsidR="00392635" w:rsidRPr="00727D88" w:rsidSect="0045740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D88"/>
    <w:rsid w:val="00392635"/>
    <w:rsid w:val="0045740B"/>
    <w:rsid w:val="00727D88"/>
    <w:rsid w:val="00DE315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D88"/>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727D88"/>
  </w:style>
  <w:style w:type="character" w:styleId="a3">
    <w:name w:val="Hyperlink"/>
    <w:uiPriority w:val="99"/>
    <w:rsid w:val="00727D88"/>
    <w:rPr>
      <w:color w:val="0000FF"/>
      <w:u w:val="single"/>
    </w:rPr>
  </w:style>
  <w:style w:type="paragraph" w:styleId="a4">
    <w:name w:val="Balloon Text"/>
    <w:basedOn w:val="a"/>
    <w:link w:val="a5"/>
    <w:uiPriority w:val="99"/>
    <w:semiHidden/>
    <w:unhideWhenUsed/>
    <w:rsid w:val="00727D8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7D88"/>
    <w:rPr>
      <w:rFonts w:ascii="Tahoma" w:eastAsia="Calibri"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D88"/>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727D88"/>
  </w:style>
  <w:style w:type="character" w:styleId="a3">
    <w:name w:val="Hyperlink"/>
    <w:uiPriority w:val="99"/>
    <w:rsid w:val="00727D88"/>
    <w:rPr>
      <w:color w:val="0000FF"/>
      <w:u w:val="single"/>
    </w:rPr>
  </w:style>
  <w:style w:type="paragraph" w:styleId="a4">
    <w:name w:val="Balloon Text"/>
    <w:basedOn w:val="a"/>
    <w:link w:val="a5"/>
    <w:uiPriority w:val="99"/>
    <w:semiHidden/>
    <w:unhideWhenUsed/>
    <w:rsid w:val="00727D8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7D88"/>
    <w:rPr>
      <w:rFonts w:ascii="Tahoma" w:eastAsia="Calibri"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2718</Words>
  <Characters>1550</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2022-10-17T13:30:00Z</dcterms:created>
  <dcterms:modified xsi:type="dcterms:W3CDTF">2022-10-18T10:38:00Z</dcterms:modified>
</cp:coreProperties>
</file>